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00A" w:rsidRPr="009135C2" w:rsidRDefault="0001400A" w:rsidP="0001400A">
      <w:pPr>
        <w:tabs>
          <w:tab w:val="left" w:pos="1134"/>
          <w:tab w:val="left" w:pos="1985"/>
          <w:tab w:val="left" w:pos="8222"/>
          <w:tab w:val="left" w:pos="9356"/>
        </w:tabs>
        <w:spacing w:after="0"/>
        <w:rPr>
          <w:b/>
          <w:sz w:val="20"/>
          <w:szCs w:val="20"/>
        </w:rPr>
      </w:pPr>
      <w:r w:rsidRPr="009135C2">
        <w:rPr>
          <w:b/>
          <w:sz w:val="20"/>
          <w:szCs w:val="20"/>
        </w:rPr>
        <w:t>00.000.00</w:t>
      </w:r>
      <w:r w:rsidRPr="009135C2">
        <w:rPr>
          <w:b/>
          <w:sz w:val="20"/>
          <w:szCs w:val="20"/>
        </w:rPr>
        <w:tab/>
        <w:t>1</w:t>
      </w:r>
      <w:r w:rsidRPr="009135C2">
        <w:rPr>
          <w:b/>
          <w:sz w:val="20"/>
          <w:szCs w:val="20"/>
        </w:rPr>
        <w:tab/>
      </w:r>
      <w:r>
        <w:rPr>
          <w:b/>
          <w:sz w:val="20"/>
          <w:szCs w:val="20"/>
        </w:rPr>
        <w:t>XP Control Abflussdrosselung EDS</w:t>
      </w:r>
      <w:r w:rsidRPr="009135C2">
        <w:rPr>
          <w:b/>
          <w:sz w:val="20"/>
          <w:szCs w:val="20"/>
        </w:rPr>
        <w:tab/>
        <w:t>0 €</w:t>
      </w:r>
      <w:r w:rsidRPr="009135C2">
        <w:rPr>
          <w:b/>
          <w:sz w:val="20"/>
          <w:szCs w:val="20"/>
        </w:rPr>
        <w:tab/>
        <w:t>0 €</w:t>
      </w:r>
    </w:p>
    <w:p w:rsidR="0001400A" w:rsidRDefault="0001400A" w:rsidP="0001400A">
      <w:pPr>
        <w:ind w:left="1985" w:right="2550"/>
      </w:pPr>
      <w:r>
        <w:t>Regenbecken-Abflussdrosseleinheit (EDS) ist eine wasserstandabhängige, elektrisch gesteuerte Abflussdrosselschiebereinheit, die über eine spezielle Software die Abflussmenge, anhand des Oberwasserniveaus, kontinuierlich berechnet und die Schiebereinheit entsprechend regelt. Inklusive frei einstellbare, zyklische Intervallspülung, um ein Verstopfen zu verhindern! Die Drosselmenge (Abflussmenge in l/s)und alle anderen für die Regelung notwendigen Parameter, sind am Controller einstellbar. Für eine einwandfreie Funktion darf an der Drosseleinheit kein Rückstau entstehen!</w:t>
      </w:r>
    </w:p>
    <w:p w:rsidR="0001400A" w:rsidRPr="00D05AF4" w:rsidRDefault="0001400A" w:rsidP="0001400A">
      <w:pPr>
        <w:pStyle w:val="Listenabsatz"/>
        <w:numPr>
          <w:ilvl w:val="0"/>
          <w:numId w:val="1"/>
        </w:numPr>
        <w:tabs>
          <w:tab w:val="left" w:pos="3969"/>
        </w:tabs>
        <w:ind w:left="1985" w:right="2550" w:hanging="357"/>
        <w:contextualSpacing w:val="0"/>
      </w:pPr>
      <w:r w:rsidRPr="00DB38A1">
        <w:rPr>
          <w:b/>
        </w:rPr>
        <w:t>Drosselschieber</w:t>
      </w:r>
    </w:p>
    <w:p w:rsidR="0001400A" w:rsidRDefault="0001400A" w:rsidP="0001400A">
      <w:pPr>
        <w:tabs>
          <w:tab w:val="left" w:pos="3969"/>
        </w:tabs>
        <w:ind w:left="1985" w:right="2550"/>
      </w:pPr>
      <w:r>
        <w:t>Lieferung und Montage des Drosselschiebers mit integrierter Kupplung zum Anschluss an eine elektrische Einheit. Schieberplatte gerade und 4-seitig dichtend zum Andübeln an die Beckenwand!</w:t>
      </w:r>
      <w:r>
        <w:br/>
        <w:t>Fabrikat:</w:t>
      </w:r>
      <w:r>
        <w:tab/>
        <w:t>VAG</w:t>
      </w:r>
      <w:r>
        <w:br/>
        <w:t>Typ:</w:t>
      </w:r>
      <w:r>
        <w:tab/>
        <w:t>ERI plus Spindelschieber vierseitig dichtend</w:t>
      </w:r>
      <w:r>
        <w:br/>
        <w:t>Betätigung:</w:t>
      </w:r>
      <w:r>
        <w:tab/>
        <w:t>Direkte Montage eines E-Antriebes</w:t>
      </w:r>
      <w:r>
        <w:br/>
        <w:t>Nennweite:</w:t>
      </w:r>
      <w:r>
        <w:tab/>
        <w:t>DN ………………</w:t>
      </w:r>
      <w:r>
        <w:br/>
        <w:t>Ausführung:</w:t>
      </w:r>
      <w:r>
        <w:tab/>
        <w:t>zum Andüblen</w:t>
      </w:r>
      <w:r>
        <w:br/>
        <w:t>Werkstoff:</w:t>
      </w:r>
      <w:r>
        <w:tab/>
        <w:t>Edelstahl 1.4301</w:t>
      </w:r>
      <w:r>
        <w:br/>
        <w:t>Kupplungsadapter:</w:t>
      </w:r>
      <w:r>
        <w:tab/>
        <w:t>Vierkant 19 mm</w:t>
      </w:r>
      <w:r>
        <w:br/>
        <w:t>Spindeltyp:</w:t>
      </w:r>
      <w:r>
        <w:tab/>
        <w:t>nicht steigend</w:t>
      </w:r>
      <w:r>
        <w:br/>
        <w:t>Montage:</w:t>
      </w:r>
      <w:r>
        <w:tab/>
        <w:t>ablaufseitig im Schacht</w:t>
      </w:r>
      <w:r>
        <w:br/>
        <w:t>Anzahl:</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sidRPr="00DB38A1">
        <w:rPr>
          <w:b/>
        </w:rPr>
        <w:t>Spindelverlängerung</w:t>
      </w:r>
    </w:p>
    <w:p w:rsidR="0001400A" w:rsidRDefault="0001400A" w:rsidP="0001400A">
      <w:pPr>
        <w:tabs>
          <w:tab w:val="left" w:pos="3969"/>
        </w:tabs>
        <w:ind w:left="1985" w:right="2550"/>
      </w:pPr>
      <w:r>
        <w:t>Lieferung und Montage einer Spindelverlängerung aus Edelstahl für einen Regelantrieb!</w:t>
      </w:r>
      <w:r>
        <w:br/>
        <w:t>Werkstoff:</w:t>
      </w:r>
      <w:r>
        <w:tab/>
        <w:t>Edelstahl 1.4301 / AISI 304</w:t>
      </w:r>
      <w:r>
        <w:br/>
        <w:t>Wandlagerung:</w:t>
      </w:r>
      <w:r>
        <w:tab/>
        <w:t>verstellbar</w:t>
      </w:r>
      <w:r>
        <w:br/>
        <w:t>Länge:</w:t>
      </w:r>
      <w:r>
        <w:tab/>
        <w:t>……… cm</w:t>
      </w:r>
      <w:r>
        <w:br/>
        <w:t>Anzahl:</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sidRPr="00DB38A1">
        <w:rPr>
          <w:b/>
        </w:rPr>
        <w:t>Elektrischer Regelantrieb mit Vorortsteuerteil</w:t>
      </w:r>
    </w:p>
    <w:p w:rsidR="0001400A" w:rsidRDefault="0001400A" w:rsidP="0001400A">
      <w:pPr>
        <w:tabs>
          <w:tab w:val="left" w:pos="3969"/>
        </w:tabs>
        <w:ind w:left="1985" w:right="2550"/>
      </w:pPr>
      <w:r>
        <w:t>Lieferung und Montage eines elektrischen Regelantriebs für den Drosselschieber.</w:t>
      </w:r>
      <w:r>
        <w:br/>
        <w:t xml:space="preserve">Fabrikat / Typ: </w:t>
      </w:r>
      <w:r>
        <w:tab/>
        <w:t>Auma / SAR 07.6 inkl. Drehmomentgeber (MWG)</w:t>
      </w:r>
      <w:r>
        <w:br/>
        <w:t>Betriebsart:</w:t>
      </w:r>
      <w:r>
        <w:tab/>
        <w:t>S4 – 25% ED</w:t>
      </w:r>
      <w:r>
        <w:br/>
        <w:t>Netzspannung:</w:t>
      </w:r>
      <w:r>
        <w:tab/>
        <w:t>400 V / 50 Hz</w:t>
      </w:r>
      <w:r>
        <w:br/>
        <w:t>Motorleistung:</w:t>
      </w:r>
      <w:r>
        <w:tab/>
        <w:t>0,06 kW</w:t>
      </w:r>
      <w:r>
        <w:br/>
        <w:t>Nennstrom:</w:t>
      </w:r>
      <w:r>
        <w:tab/>
        <w:t>…………. A</w:t>
      </w:r>
      <w:r>
        <w:br/>
      </w:r>
      <w:r>
        <w:lastRenderedPageBreak/>
        <w:t>Thermoschutz:</w:t>
      </w:r>
      <w:r>
        <w:tab/>
        <w:t>integriert</w:t>
      </w:r>
      <w:r>
        <w:br/>
        <w:t>Getriebflansch:</w:t>
      </w:r>
      <w:r>
        <w:tab/>
        <w:t>F10</w:t>
      </w:r>
      <w:r>
        <w:br/>
        <w:t xml:space="preserve">Heizung: </w:t>
      </w:r>
      <w:r>
        <w:tab/>
        <w:t>im Regelantrieb integriert ca. 3 W</w:t>
      </w:r>
      <w:r>
        <w:br/>
        <w:t>Schutzart:</w:t>
      </w:r>
      <w:r>
        <w:tab/>
        <w:t>IP 68</w:t>
      </w:r>
      <w:r>
        <w:br/>
        <w:t>Ex-Schutz:</w:t>
      </w:r>
      <w:r>
        <w:tab/>
        <w:t>nein</w:t>
      </w:r>
      <w:r>
        <w:br/>
        <w:t>Notbetätigung:</w:t>
      </w:r>
      <w:r>
        <w:tab/>
        <w:t>per Handrad</w:t>
      </w:r>
      <w:r>
        <w:br/>
        <w:t>Vorort-Schalter:</w:t>
      </w:r>
      <w:r>
        <w:tab/>
        <w:t>abgesetzte Ausführung im Schaltschrank</w:t>
      </w:r>
      <w:r>
        <w:br/>
        <w:t>Regeloption:</w:t>
      </w:r>
      <w:r>
        <w:tab/>
        <w:t>über externes 4-20 mA Signal ansteuerbar</w:t>
      </w:r>
      <w:r>
        <w:br/>
        <w:t>Befestigung:</w:t>
      </w:r>
      <w:r>
        <w:tab/>
        <w:t>direkt an Spindelverlängerung</w:t>
      </w:r>
      <w:r>
        <w:br/>
        <w:t>Steuerung:</w:t>
      </w:r>
      <w:r>
        <w:tab/>
        <w:t>AUMATIC AC 01.2</w:t>
      </w:r>
      <w:r>
        <w:br/>
        <w:t>Schaltung:</w:t>
      </w:r>
      <w:r>
        <w:tab/>
        <w:t>Thyristor-Wendeeinheit Leistungsklasse B1/B2</w:t>
      </w:r>
      <w:r>
        <w:br/>
        <w:t>Sollwerteingang:</w:t>
      </w:r>
      <w:r>
        <w:tab/>
        <w:t>adaptiver Stellungsregler mit Sollwerteingang 4-20 mA</w:t>
      </w:r>
      <w:r>
        <w:br/>
        <w:t>Anzahl:</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Pr>
          <w:b/>
        </w:rPr>
        <w:t>Steuerschrank</w:t>
      </w:r>
    </w:p>
    <w:p w:rsidR="0001400A" w:rsidRDefault="0001400A" w:rsidP="0001400A">
      <w:pPr>
        <w:tabs>
          <w:tab w:val="left" w:pos="3969"/>
        </w:tabs>
        <w:ind w:left="1985" w:right="2550"/>
      </w:pPr>
      <w:r w:rsidRPr="00DB38A1">
        <w:t xml:space="preserve">Lieferung und </w:t>
      </w:r>
      <w:r>
        <w:t>Montage des notwendigen Steuerschaltschranks für Wandmontage.</w:t>
      </w:r>
      <w:r>
        <w:br/>
        <w:t>Drosselschiebersteuerung XP EDS</w:t>
      </w:r>
      <w:r>
        <w:br/>
        <w:t>1 Stahlblechgehäuse 1-türig passend für alle notwendigen Einbauten</w:t>
      </w:r>
      <w:r>
        <w:br/>
        <w:t xml:space="preserve"> Schutzart IP 54</w:t>
      </w:r>
      <w:r>
        <w:br/>
        <w:t>Betriebsspannung 400 Volt 50 Hz</w:t>
      </w:r>
      <w:r>
        <w:br/>
        <w:t>Steuerspannung: 230 Volt 50 Hz</w:t>
      </w:r>
      <w:r>
        <w:br/>
        <w:t>Netzteil 230/24 VDC 1.5 Ah</w:t>
      </w:r>
      <w:r>
        <w:br/>
        <w:t>Schaltschrankheizung 30 W mit Thermostat</w:t>
      </w:r>
      <w:r>
        <w:br/>
        <w:t>Hauptschalter 25 A – 3polig</w:t>
      </w:r>
      <w:r>
        <w:br/>
        <w:t>Leistungssicherung Steuerspannung und Betriebsspannung</w:t>
      </w:r>
      <w:r>
        <w:br/>
        <w:t>Motorschutzschalter für  Regelantrieb</w:t>
      </w:r>
      <w:r>
        <w:br/>
        <w:t>Überspannungsschutz Typ 1+2</w:t>
      </w:r>
      <w:r>
        <w:br/>
        <w:t>Klemmleiste</w:t>
      </w:r>
      <w:r>
        <w:br/>
        <w:t>Anzahl:</w:t>
      </w:r>
      <w:r>
        <w:tab/>
        <w:t>1 Stück</w:t>
      </w:r>
    </w:p>
    <w:p w:rsidR="0001400A" w:rsidRPr="00D05AF4" w:rsidRDefault="0001400A" w:rsidP="0001400A">
      <w:pPr>
        <w:pStyle w:val="Listenabsatz"/>
        <w:numPr>
          <w:ilvl w:val="0"/>
          <w:numId w:val="1"/>
        </w:numPr>
        <w:tabs>
          <w:tab w:val="left" w:pos="3969"/>
        </w:tabs>
        <w:ind w:left="1985" w:right="2550"/>
        <w:contextualSpacing w:val="0"/>
      </w:pPr>
      <w:r w:rsidRPr="00252331">
        <w:rPr>
          <w:b/>
        </w:rPr>
        <w:t>XP Controller Einheit EXL6-C115</w:t>
      </w:r>
    </w:p>
    <w:p w:rsidR="0001400A" w:rsidRDefault="0001400A" w:rsidP="0001400A">
      <w:pPr>
        <w:tabs>
          <w:tab w:val="left" w:pos="3969"/>
        </w:tabs>
        <w:ind w:left="1985" w:right="2550"/>
      </w:pPr>
      <w:r>
        <w:t>Übereinstimmung mit EMC-Standards EN 50081-1, EN 50082-2</w:t>
      </w:r>
      <w:r>
        <w:br/>
        <w:t xml:space="preserve">Kunststoffgekapselt, Schutzart IP 65 Front,  </w:t>
      </w:r>
      <w:r>
        <w:br/>
        <w:t>CsCAN-Bus-Schnittstelle, für verschiedene Protokolle vorbereitet</w:t>
      </w:r>
      <w:r>
        <w:br/>
        <w:t>Interner Batteriepuffer für remanenten (dauerhaften) Datenspeicher</w:t>
      </w:r>
      <w:r>
        <w:br/>
        <w:t>Mikro-SD-Karten Slot für externen Datenspeicher (max. 2 GB)</w:t>
      </w:r>
      <w:r>
        <w:br/>
        <w:t>2 serielle Schnittstellen (RS 232), 1 Mini USB-Schnittstelle (programmierbar), 1 USB-Schnittstelle für externe Datenspeicher (nicht aktiv)</w:t>
      </w:r>
      <w:r>
        <w:br/>
        <w:t xml:space="preserve">1 Ethernet-Schnittstelle  </w:t>
      </w:r>
      <w:r>
        <w:br/>
      </w:r>
      <w:r>
        <w:lastRenderedPageBreak/>
        <w:t>12 Digitale Eingänge (12 V / 24 V)</w:t>
      </w:r>
      <w:r>
        <w:br/>
        <w:t>12 Digitale (12 /24 V)</w:t>
      </w:r>
      <w:r>
        <w:br/>
        <w:t>2 Analoge Eingänge (0/4 – 20 mA oder 0-10 VDC)</w:t>
      </w:r>
      <w:r>
        <w:br/>
        <w:t>2 Analoge Ausgänge (4 – 20 mA)</w:t>
      </w:r>
      <w:r>
        <w:br/>
        <w:t>5,7 Zoll Touch Panel (65535 Farben) zur Anzeige und Konfiguration der Steuerung</w:t>
      </w:r>
      <w:r>
        <w:br/>
        <w:t>Alarmmanagement zur Anzeige aller Störungen vor Ort</w:t>
      </w:r>
      <w:r>
        <w:br/>
        <w:t>Füllstandsbargraph zur Visualisierung des Wasserstandes</w:t>
      </w:r>
      <w:r>
        <w:br/>
        <w:t>Anzeige des aktuellen Betriebszustandes</w:t>
      </w:r>
      <w:r>
        <w:br/>
        <w:t>Einstellung der benötigen Eingangssignale (Öffner/Schließer)</w:t>
      </w:r>
      <w:r>
        <w:br/>
        <w:t>Quittierung von Störungen</w:t>
      </w:r>
      <w:r>
        <w:br/>
        <w:t>Konfiguration der gesamten Anlage vor Ort möglich</w:t>
      </w:r>
      <w:r>
        <w:br/>
        <w:t>Stromversorgung: 10 - 30 V mind. 500 mA</w:t>
      </w:r>
      <w:r>
        <w:br/>
      </w:r>
      <w:r w:rsidRPr="008E17CC">
        <w:rPr>
          <w:b/>
        </w:rPr>
        <w:t xml:space="preserve"> Software zur Abflussregelung der Drosselschiebereinheit</w:t>
      </w:r>
      <w:r>
        <w:br/>
        <w:t>Abmessungen: B 186,06 x H 143,58 x T 46 mm</w:t>
      </w:r>
      <w:r>
        <w:br/>
        <w:t xml:space="preserve">Anzahl: </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sidRPr="0016091B">
        <w:rPr>
          <w:b/>
        </w:rPr>
        <w:t>Ultraschall – Niveaumessung</w:t>
      </w:r>
    </w:p>
    <w:p w:rsidR="0001400A" w:rsidRDefault="0001400A" w:rsidP="0001400A">
      <w:pPr>
        <w:tabs>
          <w:tab w:val="left" w:pos="3969"/>
        </w:tabs>
        <w:ind w:left="1985" w:right="2550"/>
      </w:pPr>
      <w:r>
        <w:t>Oberwasserseitige Niveaumessung für die Abflusssteuerung. Kompakteinheit mit 4 – 20 mA Ausgangssignal und integriertem Ex-Schutzmodul.</w:t>
      </w:r>
      <w:r>
        <w:br/>
        <w:t>Messsystem:</w:t>
      </w:r>
      <w:r>
        <w:tab/>
        <w:t>Ultraschall</w:t>
      </w:r>
      <w:r>
        <w:br/>
        <w:t xml:space="preserve">Messbereich: </w:t>
      </w:r>
      <w:r>
        <w:tab/>
        <w:t>……….. m</w:t>
      </w:r>
      <w:r>
        <w:br/>
        <w:t>Material:</w:t>
      </w:r>
      <w:r>
        <w:tab/>
        <w:t>Valox 357, PBT</w:t>
      </w:r>
      <w:r>
        <w:br/>
        <w:t xml:space="preserve">Schutzart: </w:t>
      </w:r>
      <w:r>
        <w:tab/>
        <w:t>IP 68</w:t>
      </w:r>
      <w:r>
        <w:tab/>
      </w:r>
      <w:r>
        <w:br/>
        <w:t>Versorgungspannung:</w:t>
      </w:r>
      <w:r>
        <w:tab/>
        <w:t>10 – 30 VDC</w:t>
      </w:r>
      <w:r>
        <w:br/>
        <w:t xml:space="preserve">Auflösung: </w:t>
      </w:r>
      <w:r>
        <w:tab/>
        <w:t>1 mm</w:t>
      </w:r>
      <w:r>
        <w:br/>
        <w:t>Ex-Schutz:</w:t>
      </w:r>
      <w:r>
        <w:tab/>
      </w:r>
      <w:r w:rsidRPr="0016091B">
        <w:t>II 1 GD Ex ia IIC T4</w:t>
      </w:r>
      <w:r>
        <w:br/>
        <w:t>Anzahl:</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Pr>
          <w:b/>
        </w:rPr>
        <w:t>Außenschrank für Schaltanlage und Bedienteil des Regelantriebes</w:t>
      </w:r>
    </w:p>
    <w:p w:rsidR="0001400A" w:rsidRDefault="0001400A" w:rsidP="0001400A">
      <w:pPr>
        <w:tabs>
          <w:tab w:val="left" w:pos="3969"/>
        </w:tabs>
        <w:ind w:left="1985" w:right="2550"/>
      </w:pPr>
      <w:r>
        <w:t>Glasfaserverstärkter Polyesterschrank mit Schwenkhebelverschluss!</w:t>
      </w:r>
      <w:r>
        <w:br/>
        <w:t xml:space="preserve">Maße: </w:t>
      </w:r>
      <w:r>
        <w:tab/>
        <w:t>passend für alle Einbauten</w:t>
      </w:r>
      <w:r>
        <w:br/>
        <w:t>Schutzart:</w:t>
      </w:r>
      <w:r>
        <w:tab/>
        <w:t>IP 54</w:t>
      </w:r>
      <w:r>
        <w:br/>
        <w:t>Montageplatte innen:</w:t>
      </w:r>
      <w:r>
        <w:tab/>
        <w:t>inklusive</w:t>
      </w:r>
      <w:r>
        <w:br/>
        <w:t>Schwenkhebelverschluss:</w:t>
      </w:r>
      <w:r>
        <w:tab/>
        <w:t>ja</w:t>
      </w:r>
      <w:r>
        <w:br/>
        <w:t>Halbprofilzylinder:</w:t>
      </w:r>
      <w:r>
        <w:tab/>
        <w:t>……….</w:t>
      </w:r>
      <w:r>
        <w:br/>
        <w:t>Kunststoffsockel passend für den Außenschrank! Wird bauseits versetzt!</w:t>
      </w:r>
      <w:r>
        <w:br/>
        <w:t>Anzahl:</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Pr>
          <w:b/>
        </w:rPr>
        <w:t>Kernbohrung</w:t>
      </w:r>
    </w:p>
    <w:p w:rsidR="0001400A" w:rsidRDefault="0001400A" w:rsidP="0001400A">
      <w:pPr>
        <w:tabs>
          <w:tab w:val="left" w:pos="3969"/>
        </w:tabs>
        <w:ind w:left="1985" w:right="2550"/>
      </w:pPr>
      <w:r>
        <w:lastRenderedPageBreak/>
        <w:t>Bohrung zur Durchführung der  benötigten Signalleitungen.</w:t>
      </w:r>
      <w:r>
        <w:br/>
        <w:t>Durchmesser:</w:t>
      </w:r>
      <w:r>
        <w:tab/>
        <w:t>DN 100</w:t>
      </w:r>
      <w:r>
        <w:br/>
        <w:t>Position:</w:t>
      </w:r>
      <w:r>
        <w:tab/>
        <w:t>Vorort festzulegen</w:t>
      </w:r>
      <w:r>
        <w:br/>
        <w:t xml:space="preserve">Anzahl: </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Pr>
          <w:b/>
        </w:rPr>
        <w:t>Kabeldurchführung</w:t>
      </w:r>
    </w:p>
    <w:p w:rsidR="0001400A" w:rsidRDefault="0001400A" w:rsidP="0001400A">
      <w:pPr>
        <w:tabs>
          <w:tab w:val="left" w:pos="3969"/>
        </w:tabs>
        <w:ind w:left="1985" w:right="2550"/>
      </w:pPr>
      <w:r>
        <w:t>Mehrfach-Mauerdurchführung, Dichtungssatz für Kabelleerrohr DN 100</w:t>
      </w:r>
      <w:r>
        <w:br/>
        <w:t>Typ:</w:t>
      </w:r>
      <w:r>
        <w:tab/>
        <w:t>Compakt Multicable</w:t>
      </w:r>
      <w:r>
        <w:br/>
        <w:t>Anzahl:</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Pr>
          <w:b/>
        </w:rPr>
        <w:t>Montage</w:t>
      </w:r>
    </w:p>
    <w:p w:rsidR="0001400A" w:rsidRDefault="0001400A" w:rsidP="0001400A">
      <w:pPr>
        <w:tabs>
          <w:tab w:val="left" w:pos="3969"/>
        </w:tabs>
        <w:ind w:left="1985" w:right="2550"/>
      </w:pPr>
      <w:r>
        <w:t xml:space="preserve">Alle Anlagenteile sorgfältig und gemäß Stromlaufplan installieren! </w:t>
      </w:r>
      <w:r>
        <w:br/>
        <w:t>Anzahl:</w:t>
      </w:r>
      <w:r>
        <w:tab/>
        <w:t>1 pauschal</w:t>
      </w:r>
    </w:p>
    <w:p w:rsidR="0001400A" w:rsidRPr="00D05AF4" w:rsidRDefault="0001400A" w:rsidP="0001400A">
      <w:pPr>
        <w:pStyle w:val="Listenabsatz"/>
        <w:numPr>
          <w:ilvl w:val="0"/>
          <w:numId w:val="1"/>
        </w:numPr>
        <w:tabs>
          <w:tab w:val="left" w:pos="3969"/>
        </w:tabs>
        <w:ind w:left="1985" w:right="2550" w:hanging="357"/>
        <w:contextualSpacing w:val="0"/>
      </w:pPr>
      <w:r>
        <w:rPr>
          <w:b/>
        </w:rPr>
        <w:t>Demontage alte Drosselanlage</w:t>
      </w:r>
    </w:p>
    <w:p w:rsidR="0001400A" w:rsidRDefault="0001400A" w:rsidP="0001400A">
      <w:pPr>
        <w:tabs>
          <w:tab w:val="left" w:pos="3969"/>
        </w:tabs>
        <w:ind w:left="1985" w:right="2550"/>
      </w:pPr>
      <w:r>
        <w:t>Die bestehenden Drosselanlagen müssen entfernt werden um die neuen Anlagen montieren zu können.</w:t>
      </w:r>
      <w:r>
        <w:br/>
        <w:t>Demontage:</w:t>
      </w:r>
      <w:r>
        <w:tab/>
        <w:t>……….</w:t>
      </w:r>
      <w:r>
        <w:br/>
        <w:t>Entsorgung:</w:t>
      </w:r>
      <w:r>
        <w:tab/>
        <w:t>……….</w:t>
      </w:r>
      <w:r>
        <w:br/>
        <w:t xml:space="preserve">Anzahl: </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Pr>
          <w:b/>
        </w:rPr>
        <w:t>Inbetriebnahme</w:t>
      </w:r>
    </w:p>
    <w:p w:rsidR="0001400A" w:rsidRDefault="0001400A" w:rsidP="0001400A">
      <w:pPr>
        <w:tabs>
          <w:tab w:val="left" w:pos="3969"/>
        </w:tabs>
        <w:ind w:left="1985" w:right="2550"/>
      </w:pPr>
      <w:r>
        <w:t>Alle gelieferten Anlagenteile in Betrieb nehmen und auf Funktionsfähigkeit prüfen. Alle notwendigen Einstellungen und Funktionskontrolle durchführen.</w:t>
      </w:r>
      <w:r>
        <w:br/>
        <w:t xml:space="preserve">Anzahl: </w:t>
      </w:r>
      <w:r>
        <w:tab/>
        <w:t>1 Stück</w:t>
      </w:r>
    </w:p>
    <w:p w:rsidR="0001400A" w:rsidRPr="00D05AF4" w:rsidRDefault="0001400A" w:rsidP="0001400A">
      <w:pPr>
        <w:pStyle w:val="Listenabsatz"/>
        <w:numPr>
          <w:ilvl w:val="0"/>
          <w:numId w:val="1"/>
        </w:numPr>
        <w:tabs>
          <w:tab w:val="left" w:pos="3969"/>
        </w:tabs>
        <w:ind w:left="1985" w:right="2550" w:hanging="357"/>
        <w:contextualSpacing w:val="0"/>
      </w:pPr>
      <w:r>
        <w:rPr>
          <w:b/>
        </w:rPr>
        <w:t>Anbindung an das vorhandene XP Web Prozessleitsystem (Optional)</w:t>
      </w:r>
    </w:p>
    <w:p w:rsidR="0001400A" w:rsidRDefault="0001400A" w:rsidP="0001400A">
      <w:pPr>
        <w:tabs>
          <w:tab w:val="left" w:pos="3969"/>
        </w:tabs>
        <w:ind w:left="1985" w:right="2550"/>
      </w:pPr>
      <w:r>
        <w:t>Die Drosseleinheit mit dem bereits vorhandenen Prozessleitsystem XP Web verbinden und die Daten wie Niveau Oberwasser, Störmeldungen, Betriebszeiten übertragen.</w:t>
      </w:r>
      <w:r>
        <w:br/>
        <w:t>XP Web Lizenz:</w:t>
      </w:r>
      <w:r>
        <w:tab/>
        <w:t>1 pauschal</w:t>
      </w:r>
    </w:p>
    <w:p w:rsidR="0001400A" w:rsidRPr="00D05AF4" w:rsidRDefault="0001400A" w:rsidP="0001400A">
      <w:pPr>
        <w:pStyle w:val="Listenabsatz"/>
        <w:numPr>
          <w:ilvl w:val="0"/>
          <w:numId w:val="1"/>
        </w:numPr>
        <w:tabs>
          <w:tab w:val="left" w:pos="3969"/>
        </w:tabs>
        <w:ind w:left="1985" w:right="2550" w:hanging="357"/>
        <w:contextualSpacing w:val="0"/>
      </w:pPr>
      <w:r w:rsidRPr="00F84EE8">
        <w:rPr>
          <w:b/>
        </w:rPr>
        <w:t>GSM/GPRS – Modem zur Stör- und Datenübertragung (Optional)</w:t>
      </w:r>
    </w:p>
    <w:p w:rsidR="0001400A" w:rsidRDefault="0001400A" w:rsidP="0001400A">
      <w:pPr>
        <w:tabs>
          <w:tab w:val="left" w:pos="3969"/>
        </w:tabs>
        <w:ind w:left="1985" w:right="2550"/>
      </w:pPr>
      <w:r>
        <w:t>GSM/GPRS-Systemmodem (OEM) zur Integration an XP Control Systemen</w:t>
      </w:r>
      <w:r>
        <w:br/>
        <w:t>Kompatibel mit allen gängigen Handynetzen</w:t>
      </w:r>
      <w:r>
        <w:br/>
        <w:t>Antennenanschluss am Modem SMA(female)</w:t>
      </w:r>
      <w:r>
        <w:br/>
        <w:t>Komplett zur internen Montage mit passender Gehäuseabdeckung</w:t>
      </w:r>
      <w:r>
        <w:br/>
      </w:r>
      <w:r w:rsidRPr="00F84EE8">
        <w:t>Frequenzband: EGSM 900, DCS, 1800, and PCS 1900, GSM 850</w:t>
      </w:r>
      <w:r w:rsidRPr="00F84EE8">
        <w:br/>
      </w:r>
      <w:r>
        <w:t xml:space="preserve">alle GSM/GPRS Authentifizierungs-, Verschlüsselungs- und </w:t>
      </w:r>
      <w:r>
        <w:lastRenderedPageBreak/>
        <w:t xml:space="preserve">Frequency Hopping Algorithmen. </w:t>
      </w:r>
      <w:r>
        <w:br/>
        <w:t xml:space="preserve">GPRS Kodierungsschemas, CS1-CS4 Unterstützung. </w:t>
      </w:r>
      <w:r w:rsidRPr="00F84EE8">
        <w:t xml:space="preserve">Multi-Slot Class 10 (4RX/2TX, Max 5 </w:t>
      </w:r>
      <w:r w:rsidRPr="00F84EE8">
        <w:br/>
        <w:t>Slots).</w:t>
      </w:r>
      <w:r>
        <w:br/>
        <w:t>Zulassungen der Behörden: GCF Zulassung, PTCRB Zulassung, FCC (Part 24) Zertifikation, RTTE</w:t>
      </w:r>
      <w:r>
        <w:br/>
        <w:t>SMS Empfangsbestätigung</w:t>
      </w:r>
      <w:r>
        <w:br/>
        <w:t>CSD (Circuit Switched Data - Transparent &amp; Non-transparent bis zu 9.6 Kbps) Sprache (EFR, FR, HR)</w:t>
      </w:r>
      <w:r>
        <w:br/>
      </w:r>
      <w:r w:rsidRPr="00F84EE8">
        <w:t>Unterstützt Unstructured Supplementary Service Data (USSD)</w:t>
      </w:r>
      <w:r w:rsidRPr="00F84EE8">
        <w:br/>
        <w:t>Multi-Slot Class 10 Unterstützung (4Rx/2TX), (5 Slot Max)</w:t>
      </w:r>
      <w:r w:rsidRPr="00F84EE8">
        <w:br/>
      </w:r>
      <w:r>
        <w:t>PBCCH/PCCCH Unterstützung.</w:t>
      </w:r>
      <w:r>
        <w:br/>
        <w:t>SIM 3 V Mini-Subscriber Identity Module (SIM) kompatibel</w:t>
      </w:r>
      <w:r>
        <w:br/>
        <w:t>Kommunikationssoftware um mit dem XP Web Server die Daten austauschen zu können</w:t>
      </w:r>
      <w:r>
        <w:br/>
        <w:t>Anzahl:</w:t>
      </w:r>
      <w:r>
        <w:tab/>
        <w:t>1 Stück</w:t>
      </w:r>
    </w:p>
    <w:p w:rsidR="0001400A" w:rsidRPr="00D05AF4" w:rsidRDefault="0001400A" w:rsidP="0001400A">
      <w:pPr>
        <w:pStyle w:val="Listenabsatz"/>
        <w:numPr>
          <w:ilvl w:val="0"/>
          <w:numId w:val="1"/>
        </w:numPr>
        <w:tabs>
          <w:tab w:val="left" w:pos="3969"/>
        </w:tabs>
        <w:ind w:left="1985" w:right="2550"/>
      </w:pPr>
      <w:r w:rsidRPr="00DA25B9">
        <w:rPr>
          <w:b/>
        </w:rPr>
        <w:t>Unterbrechungsfreie Stromversorgung bei Modemeinsatz (Optional)</w:t>
      </w:r>
    </w:p>
    <w:p w:rsidR="0001400A" w:rsidRDefault="0001400A" w:rsidP="0001400A">
      <w:pPr>
        <w:tabs>
          <w:tab w:val="left" w:pos="3969"/>
        </w:tabs>
        <w:ind w:left="1985" w:right="2550"/>
      </w:pPr>
      <w:r>
        <w:t>Um bei Stromausfall die Störmeldung noch absetzen zu können, ist eine USV-Einheit erforderlich! Nur für die SPS- und Modemeinheit</w:t>
      </w:r>
      <w:r>
        <w:br/>
        <w:t>Typ:</w:t>
      </w:r>
      <w:r>
        <w:tab/>
        <w:t>APU 230/24 VDC 1,5 Ah</w:t>
      </w:r>
      <w:r>
        <w:br/>
        <w:t>Anzahl:</w:t>
      </w:r>
      <w:r>
        <w:tab/>
        <w:t>1 Stück</w:t>
      </w:r>
    </w:p>
    <w:p w:rsidR="0001400A" w:rsidRPr="00312D11" w:rsidRDefault="0001400A" w:rsidP="0001400A"/>
    <w:p w:rsidR="00B74D9F" w:rsidRDefault="00B74D9F">
      <w:bookmarkStart w:id="0" w:name="_GoBack"/>
      <w:bookmarkEnd w:id="0"/>
    </w:p>
    <w:sectPr w:rsidR="00B74D9F" w:rsidSect="00CD22C9">
      <w:headerReference w:type="default" r:id="rId5"/>
      <w:footerReference w:type="default" r:id="rId6"/>
      <w:pgSz w:w="11906" w:h="16838"/>
      <w:pgMar w:top="1418"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D11" w:rsidRDefault="0001400A">
    <w:pPr>
      <w:pStyle w:val="Fuzeile"/>
    </w:pPr>
    <w:r>
      <w:t>XP Control GmbH</w:t>
    </w:r>
    <w:r>
      <w:tab/>
    </w:r>
    <w:r>
      <w:tab/>
    </w:r>
    <w:r>
      <w:tab/>
      <w:t>Seite: [</w:t>
    </w:r>
    <w:r>
      <w:fldChar w:fldCharType="begin"/>
    </w:r>
    <w:r>
      <w:instrText>PAGE   \* MERGEFORMAT</w:instrText>
    </w:r>
    <w:r>
      <w:fldChar w:fldCharType="separate"/>
    </w:r>
    <w:r>
      <w:rPr>
        <w:noProof/>
      </w:rPr>
      <w:t>2</w:t>
    </w:r>
    <w:r>
      <w:fldChar w:fldCharType="end"/>
    </w:r>
    <w: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D11" w:rsidRDefault="0001400A" w:rsidP="00CD22C9">
    <w:pPr>
      <w:pStyle w:val="Kopfzeile"/>
      <w:pBdr>
        <w:bottom w:val="single" w:sz="4" w:space="1" w:color="auto"/>
      </w:pBdr>
      <w:tabs>
        <w:tab w:val="clear" w:pos="4536"/>
        <w:tab w:val="clear" w:pos="9072"/>
        <w:tab w:val="left" w:pos="1134"/>
        <w:tab w:val="left" w:pos="1985"/>
        <w:tab w:val="left" w:pos="8222"/>
        <w:tab w:val="left" w:pos="9356"/>
      </w:tabs>
      <w:rPr>
        <w:rFonts w:ascii="Arial" w:hAnsi="Arial" w:cs="Arial"/>
        <w:b/>
        <w:bCs/>
      </w:rPr>
    </w:pPr>
    <w:r>
      <w:rPr>
        <w:rFonts w:ascii="Arial" w:hAnsi="Arial" w:cs="Arial"/>
        <w:b/>
        <w:bCs/>
      </w:rPr>
      <w:t xml:space="preserve">Lfd. </w:t>
    </w:r>
    <w:r>
      <w:rPr>
        <w:rFonts w:ascii="Arial" w:hAnsi="Arial" w:cs="Arial"/>
        <w:b/>
        <w:bCs/>
      </w:rPr>
      <w:tab/>
      <w:t>Stück-</w:t>
    </w:r>
    <w:r>
      <w:rPr>
        <w:rFonts w:ascii="Arial" w:hAnsi="Arial" w:cs="Arial"/>
        <w:b/>
        <w:bCs/>
      </w:rPr>
      <w:tab/>
    </w:r>
    <w:r>
      <w:rPr>
        <w:rFonts w:ascii="Arial" w:hAnsi="Arial" w:cs="Arial"/>
        <w:b/>
        <w:bCs/>
      </w:rPr>
      <w:tab/>
      <w:t>Preis je</w:t>
    </w:r>
    <w:r>
      <w:rPr>
        <w:rFonts w:ascii="Arial" w:hAnsi="Arial" w:cs="Arial"/>
        <w:b/>
        <w:bCs/>
      </w:rPr>
      <w:tab/>
      <w:t>Betrag</w:t>
    </w:r>
  </w:p>
  <w:p w:rsidR="00312D11" w:rsidRPr="00EA079C" w:rsidRDefault="0001400A" w:rsidP="00CD22C9">
    <w:pPr>
      <w:pStyle w:val="Kopfzeile"/>
      <w:pBdr>
        <w:bottom w:val="single" w:sz="4" w:space="1" w:color="auto"/>
      </w:pBdr>
      <w:tabs>
        <w:tab w:val="clear" w:pos="4536"/>
        <w:tab w:val="clear" w:pos="9072"/>
        <w:tab w:val="left" w:pos="1134"/>
        <w:tab w:val="left" w:pos="1985"/>
        <w:tab w:val="left" w:pos="8222"/>
        <w:tab w:val="left" w:pos="9356"/>
      </w:tabs>
      <w:rPr>
        <w:rFonts w:ascii="Arial" w:hAnsi="Arial" w:cs="Arial"/>
        <w:b/>
        <w:bCs/>
      </w:rPr>
    </w:pPr>
    <w:r>
      <w:rPr>
        <w:rFonts w:ascii="Arial" w:hAnsi="Arial" w:cs="Arial"/>
        <w:b/>
        <w:bCs/>
      </w:rPr>
      <w:t>Nr.</w:t>
    </w:r>
    <w:r>
      <w:rPr>
        <w:rFonts w:ascii="Arial" w:hAnsi="Arial" w:cs="Arial"/>
        <w:b/>
        <w:bCs/>
      </w:rPr>
      <w:tab/>
      <w:t>zahl</w:t>
    </w:r>
    <w:r>
      <w:rPr>
        <w:rFonts w:ascii="Arial" w:hAnsi="Arial" w:cs="Arial"/>
        <w:b/>
        <w:bCs/>
      </w:rPr>
      <w:tab/>
      <w:t xml:space="preserve">                             Gegenstand</w:t>
    </w:r>
    <w:r>
      <w:rPr>
        <w:rFonts w:ascii="Arial" w:hAnsi="Arial" w:cs="Arial"/>
        <w:b/>
        <w:bCs/>
      </w:rPr>
      <w:tab/>
      <w:t>Einheit</w:t>
    </w:r>
    <w:r>
      <w:rPr>
        <w:rFonts w:ascii="Arial" w:hAnsi="Arial" w:cs="Arial"/>
        <w:b/>
        <w:bCs/>
      </w:rPr>
      <w:tab/>
    </w:r>
  </w:p>
  <w:p w:rsidR="00312D11" w:rsidRDefault="0001400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692D"/>
    <w:multiLevelType w:val="hybridMultilevel"/>
    <w:tmpl w:val="67F2200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0A"/>
    <w:rsid w:val="0001400A"/>
    <w:rsid w:val="000B236E"/>
    <w:rsid w:val="00496599"/>
    <w:rsid w:val="00B74D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D1A09-4D2B-48D9-B4B2-1CDE7914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400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1400A"/>
    <w:pPr>
      <w:tabs>
        <w:tab w:val="center" w:pos="4536"/>
        <w:tab w:val="right" w:pos="9072"/>
      </w:tabs>
      <w:spacing w:after="0" w:line="240" w:lineRule="auto"/>
    </w:pPr>
  </w:style>
  <w:style w:type="character" w:customStyle="1" w:styleId="KopfzeileZchn">
    <w:name w:val="Kopfzeile Zchn"/>
    <w:basedOn w:val="Absatz-Standardschriftart"/>
    <w:link w:val="Kopfzeile"/>
    <w:rsid w:val="0001400A"/>
  </w:style>
  <w:style w:type="paragraph" w:styleId="Fuzeile">
    <w:name w:val="footer"/>
    <w:basedOn w:val="Standard"/>
    <w:link w:val="FuzeileZchn"/>
    <w:uiPriority w:val="99"/>
    <w:unhideWhenUsed/>
    <w:rsid w:val="000140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00A"/>
  </w:style>
  <w:style w:type="paragraph" w:styleId="Listenabsatz">
    <w:name w:val="List Paragraph"/>
    <w:basedOn w:val="Standard"/>
    <w:uiPriority w:val="34"/>
    <w:qFormat/>
    <w:rsid w:val="000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5754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Gattermann</dc:creator>
  <cp:keywords/>
  <dc:description/>
  <cp:lastModifiedBy>Markus Gattermann</cp:lastModifiedBy>
  <cp:revision>1</cp:revision>
  <dcterms:created xsi:type="dcterms:W3CDTF">2019-05-13T16:26:00Z</dcterms:created>
  <dcterms:modified xsi:type="dcterms:W3CDTF">2019-05-13T16:28:00Z</dcterms:modified>
</cp:coreProperties>
</file>